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rPr>
          <w:b/>
          <w:bCs/>
          <w:color w:val="4F81BD"/>
          <w:sz w:val="28"/>
          <w:szCs w:val="28"/>
          <w:u w:color="4F81BD"/>
        </w:rPr>
      </w:pPr>
      <w:bookmarkStart w:id="0" w:name="_GoBack"/>
      <w:r>
        <w:rPr>
          <w:b/>
          <w:bCs/>
          <w:color w:val="4F81BD"/>
          <w:sz w:val="28"/>
          <w:szCs w:val="28"/>
          <w:u w:color="4F81BD"/>
        </w:rPr>
        <w:t xml:space="preserve">UOC </w:t>
      </w:r>
      <w:r>
        <w:rPr>
          <w:b/>
          <w:bCs/>
          <w:color w:val="4F81BD" w:themeColor="accent1"/>
          <w:sz w:val="28"/>
          <w:szCs w:val="28"/>
          <w:u w:color="4F81BD"/>
        </w:rPr>
        <w:t>GENETICA MEDICA</w:t>
      </w:r>
    </w:p>
    <w:bookmarkEnd w:id="0"/>
    <w:p>
      <w:pPr>
        <w:spacing w:after="120"/>
        <w:rPr>
          <w:b/>
          <w:bCs/>
          <w:color w:val="4F81BD"/>
          <w:sz w:val="28"/>
          <w:szCs w:val="28"/>
          <w:u w:color="4F81BD"/>
        </w:rPr>
      </w:pPr>
      <w:r>
        <w:rPr>
          <w:b/>
          <w:bCs/>
          <w:color w:val="4F81BD"/>
          <w:sz w:val="28"/>
          <w:szCs w:val="28"/>
          <w:u w:color="4F81BD"/>
        </w:rPr>
        <w:t>Attività di Ricerca</w:t>
      </w:r>
    </w:p>
    <w:p>
      <w:pPr>
        <w:spacing w:after="120"/>
        <w:jc w:val="both"/>
        <w:rPr>
          <w:sz w:val="24"/>
          <w:szCs w:val="24"/>
        </w:rPr>
      </w:pPr>
      <w:r>
        <w:rPr>
          <w:sz w:val="24"/>
          <w:szCs w:val="24"/>
        </w:rPr>
        <w:t xml:space="preserve">L’attività di ricerca integra studi clinici e sperimentali ed è mirata a comprendere le complesse relazioni tra fenotipo e genotipo per diverse condizioni genetiche; ad approfondire i meccanismi fisiopatologici innescati dalle mutazioni genetiche principalmente attraverso studi di biologia cellulare; ad esplorare nuovi approcci terapeutici personalizzati, mirati a specifici bersagli molecolari. </w:t>
      </w:r>
    </w:p>
    <w:p>
      <w:pPr>
        <w:spacing w:after="120"/>
        <w:jc w:val="both"/>
        <w:rPr>
          <w:sz w:val="24"/>
          <w:szCs w:val="24"/>
        </w:rPr>
      </w:pPr>
      <w:r>
        <w:rPr>
          <w:sz w:val="24"/>
          <w:szCs w:val="24"/>
        </w:rPr>
        <w:t>Le diverse competenze in campo sperimentale sono integrate in un percorso di studio che origina, e idealmente termina, con la presa in carico del paziente, allo scopo di approfondire le conoscenze di base e utilizzarle per un “</w:t>
      </w:r>
      <w:proofErr w:type="spellStart"/>
      <w:r>
        <w:rPr>
          <w:sz w:val="24"/>
          <w:szCs w:val="24"/>
        </w:rPr>
        <w:t>counselling</w:t>
      </w:r>
      <w:proofErr w:type="spellEnd"/>
      <w:r>
        <w:rPr>
          <w:sz w:val="24"/>
          <w:szCs w:val="24"/>
        </w:rPr>
        <w:t xml:space="preserve">” genetico mirato e per l’individuazione di approcci terapeutici individualizzati. Le competenze sviluppate nel corso degli anni sono variegate e coprono l’area della genetica e citogenetica molecolare, la genomica, la biologica molecolare e cellulare, la farmacologia per la scoperta di nuove molecole o il riposizionamento di farmaci già disponibili. </w:t>
      </w:r>
    </w:p>
    <w:p>
      <w:pPr>
        <w:spacing w:after="120"/>
        <w:jc w:val="both"/>
        <w:rPr>
          <w:sz w:val="24"/>
          <w:szCs w:val="24"/>
        </w:rPr>
      </w:pPr>
      <w:r>
        <w:rPr>
          <w:sz w:val="24"/>
          <w:szCs w:val="24"/>
        </w:rPr>
        <w:t xml:space="preserve">Gli studi sono supportati da finanziamenti da parte istituzioni italiane (Ministeri della Salute e della Ricerca, dalla Fondazione Telethon, La Compagnia di San Paolo, La Fondazione Ricerca Fibrosi Cistica, La Fondazione Epilessia LICE, Famiglia Volpati Trust) ed estere (Comunità Europea, </w:t>
      </w:r>
      <w:proofErr w:type="spellStart"/>
      <w:r>
        <w:rPr>
          <w:sz w:val="24"/>
          <w:szCs w:val="24"/>
        </w:rPr>
        <w:t>Fondation</w:t>
      </w:r>
      <w:proofErr w:type="spellEnd"/>
      <w:r>
        <w:rPr>
          <w:sz w:val="24"/>
          <w:szCs w:val="24"/>
        </w:rPr>
        <w:t xml:space="preserve"> </w:t>
      </w:r>
      <w:proofErr w:type="spellStart"/>
      <w:r>
        <w:rPr>
          <w:sz w:val="24"/>
          <w:szCs w:val="24"/>
        </w:rPr>
        <w:t>Jérôme</w:t>
      </w:r>
      <w:proofErr w:type="spellEnd"/>
      <w:r>
        <w:rPr>
          <w:sz w:val="24"/>
          <w:szCs w:val="24"/>
        </w:rPr>
        <w:t xml:space="preserve"> Lejeune, </w:t>
      </w:r>
      <w:proofErr w:type="spellStart"/>
      <w:r>
        <w:rPr>
          <w:sz w:val="24"/>
          <w:szCs w:val="24"/>
        </w:rPr>
        <w:t>Cystic</w:t>
      </w:r>
      <w:proofErr w:type="spellEnd"/>
      <w:r>
        <w:rPr>
          <w:sz w:val="24"/>
          <w:szCs w:val="24"/>
        </w:rPr>
        <w:t xml:space="preserve"> </w:t>
      </w:r>
      <w:proofErr w:type="spellStart"/>
      <w:r>
        <w:rPr>
          <w:sz w:val="24"/>
          <w:szCs w:val="24"/>
        </w:rPr>
        <w:t>Fibrosis</w:t>
      </w:r>
      <w:proofErr w:type="spellEnd"/>
      <w:r>
        <w:rPr>
          <w:sz w:val="24"/>
          <w:szCs w:val="24"/>
        </w:rPr>
        <w:t xml:space="preserve"> Foundation); ispirati e sostenuti da straordinarie associazioni di pazienti e famiglie (Associazione Italiana </w:t>
      </w:r>
      <w:proofErr w:type="spellStart"/>
      <w:r>
        <w:rPr>
          <w:sz w:val="24"/>
          <w:szCs w:val="24"/>
        </w:rPr>
        <w:t>Lafora</w:t>
      </w:r>
      <w:proofErr w:type="spellEnd"/>
      <w:r>
        <w:rPr>
          <w:sz w:val="24"/>
          <w:szCs w:val="24"/>
        </w:rPr>
        <w:t xml:space="preserve">, Associazione Italiana </w:t>
      </w:r>
      <w:proofErr w:type="spellStart"/>
      <w:r>
        <w:rPr>
          <w:sz w:val="24"/>
          <w:szCs w:val="24"/>
        </w:rPr>
        <w:t>Fibrodisplasia</w:t>
      </w:r>
      <w:proofErr w:type="spellEnd"/>
      <w:r>
        <w:rPr>
          <w:sz w:val="24"/>
          <w:szCs w:val="24"/>
        </w:rPr>
        <w:t xml:space="preserve"> Ossificante Progressiva (FOP Italia), Associazione </w:t>
      </w:r>
      <w:proofErr w:type="spellStart"/>
      <w:r>
        <w:rPr>
          <w:sz w:val="24"/>
          <w:szCs w:val="24"/>
        </w:rPr>
        <w:t>Onlus</w:t>
      </w:r>
      <w:proofErr w:type="spellEnd"/>
      <w:r>
        <w:rPr>
          <w:sz w:val="24"/>
          <w:szCs w:val="24"/>
        </w:rPr>
        <w:t xml:space="preserve"> Enea, Associazione Italiana </w:t>
      </w:r>
      <w:proofErr w:type="spellStart"/>
      <w:r>
        <w:rPr>
          <w:sz w:val="24"/>
          <w:szCs w:val="24"/>
        </w:rPr>
        <w:t>Siringomielia</w:t>
      </w:r>
      <w:proofErr w:type="spellEnd"/>
      <w:r>
        <w:rPr>
          <w:sz w:val="24"/>
          <w:szCs w:val="24"/>
        </w:rPr>
        <w:t xml:space="preserve"> e Arnold Chiari) e privati cittadini.</w:t>
      </w:r>
    </w:p>
    <w:p>
      <w:pPr>
        <w:spacing w:after="120"/>
        <w:jc w:val="both"/>
        <w:rPr>
          <w:sz w:val="24"/>
          <w:szCs w:val="24"/>
        </w:rPr>
      </w:pPr>
    </w:p>
    <w:p>
      <w:pPr>
        <w:spacing w:after="120"/>
        <w:jc w:val="both"/>
        <w:rPr>
          <w:sz w:val="24"/>
          <w:szCs w:val="24"/>
        </w:rPr>
      </w:pPr>
      <w:r>
        <w:rPr>
          <w:b/>
          <w:bCs/>
          <w:sz w:val="24"/>
          <w:szCs w:val="24"/>
        </w:rPr>
        <w:t>IDENTIFICAZIONE DI NUOVI GENI-MALATTIA E CORRELAZIONI GENOTIPO-FENOTIPO</w:t>
      </w:r>
    </w:p>
    <w:p>
      <w:pPr>
        <w:pStyle w:val="Paragrafoelenco"/>
        <w:numPr>
          <w:ilvl w:val="0"/>
          <w:numId w:val="2"/>
        </w:numPr>
        <w:spacing w:after="120"/>
        <w:rPr>
          <w:sz w:val="24"/>
          <w:szCs w:val="24"/>
        </w:rPr>
      </w:pPr>
      <w:r>
        <w:rPr>
          <w:sz w:val="24"/>
          <w:szCs w:val="24"/>
        </w:rPr>
        <w:t xml:space="preserve">Screening di mutazione mediante </w:t>
      </w:r>
      <w:r>
        <w:rPr>
          <w:b/>
          <w:bCs/>
          <w:sz w:val="24"/>
          <w:szCs w:val="24"/>
        </w:rPr>
        <w:t xml:space="preserve">pannelli </w:t>
      </w:r>
      <w:proofErr w:type="spellStart"/>
      <w:r>
        <w:rPr>
          <w:b/>
          <w:bCs/>
          <w:sz w:val="24"/>
          <w:szCs w:val="24"/>
        </w:rPr>
        <w:t>multigenici</w:t>
      </w:r>
      <w:proofErr w:type="spellEnd"/>
      <w:r>
        <w:rPr>
          <w:b/>
          <w:bCs/>
          <w:sz w:val="24"/>
          <w:szCs w:val="24"/>
        </w:rPr>
        <w:t xml:space="preserve"> basati sull’approccio NGS</w:t>
      </w:r>
      <w:r>
        <w:rPr>
          <w:sz w:val="24"/>
          <w:szCs w:val="24"/>
        </w:rPr>
        <w:t xml:space="preserve"> per patologie pediatriche in ambito neurologico (epilessie, malformazioni cerebrali, difetti del tubo neurale, malattie neuromuscolari) e correlazioni genotipo-fenotipo.</w:t>
      </w:r>
    </w:p>
    <w:p>
      <w:pPr>
        <w:pStyle w:val="Paragrafoelenco"/>
        <w:numPr>
          <w:ilvl w:val="0"/>
          <w:numId w:val="2"/>
        </w:numPr>
        <w:spacing w:after="120"/>
        <w:rPr>
          <w:sz w:val="24"/>
          <w:szCs w:val="24"/>
        </w:rPr>
      </w:pPr>
      <w:r>
        <w:rPr>
          <w:sz w:val="24"/>
          <w:szCs w:val="24"/>
        </w:rPr>
        <w:t xml:space="preserve">Ricerca di nuovi geni per pazienti affetti da malattie rare non diagnosticate, mediante </w:t>
      </w:r>
      <w:r>
        <w:rPr>
          <w:b/>
          <w:bCs/>
          <w:sz w:val="24"/>
          <w:szCs w:val="24"/>
        </w:rPr>
        <w:t>sequenziamento dell’</w:t>
      </w:r>
      <w:proofErr w:type="spellStart"/>
      <w:r>
        <w:rPr>
          <w:b/>
          <w:bCs/>
          <w:sz w:val="24"/>
          <w:szCs w:val="24"/>
        </w:rPr>
        <w:t>Esoma</w:t>
      </w:r>
      <w:proofErr w:type="spellEnd"/>
      <w:r>
        <w:rPr>
          <w:b/>
          <w:bCs/>
          <w:sz w:val="24"/>
          <w:szCs w:val="24"/>
        </w:rPr>
        <w:t xml:space="preserve"> o del Genoma</w:t>
      </w:r>
    </w:p>
    <w:p>
      <w:pPr>
        <w:spacing w:after="120"/>
        <w:rPr>
          <w:sz w:val="24"/>
          <w:szCs w:val="24"/>
        </w:rPr>
      </w:pPr>
    </w:p>
    <w:p>
      <w:pPr>
        <w:spacing w:after="120"/>
        <w:jc w:val="both"/>
        <w:rPr>
          <w:sz w:val="24"/>
          <w:szCs w:val="24"/>
        </w:rPr>
      </w:pPr>
      <w:r>
        <w:rPr>
          <w:b/>
          <w:bCs/>
          <w:sz w:val="24"/>
          <w:szCs w:val="24"/>
        </w:rPr>
        <w:t xml:space="preserve">ANALISI DEI MECCANISMI FISIOPATOLOGICI DI MALATTIE GENETICHE MEDIANTE STUDI CELLULARI </w:t>
      </w:r>
    </w:p>
    <w:p>
      <w:pPr>
        <w:pStyle w:val="Paragrafoelenco"/>
        <w:numPr>
          <w:ilvl w:val="3"/>
          <w:numId w:val="2"/>
        </w:numPr>
        <w:spacing w:after="120"/>
        <w:ind w:left="567"/>
        <w:rPr>
          <w:sz w:val="24"/>
          <w:szCs w:val="24"/>
        </w:rPr>
      </w:pPr>
      <w:r>
        <w:rPr>
          <w:sz w:val="24"/>
          <w:szCs w:val="24"/>
        </w:rPr>
        <w:t xml:space="preserve">Espressione di mutazioni patogenetiche in </w:t>
      </w:r>
      <w:r>
        <w:rPr>
          <w:b/>
          <w:sz w:val="24"/>
          <w:szCs w:val="24"/>
        </w:rPr>
        <w:t>sistemi cellulari eterologhi</w:t>
      </w:r>
      <w:r>
        <w:rPr>
          <w:sz w:val="24"/>
          <w:szCs w:val="24"/>
        </w:rPr>
        <w:t>.</w:t>
      </w:r>
    </w:p>
    <w:p>
      <w:pPr>
        <w:pStyle w:val="Paragrafoelenco"/>
        <w:numPr>
          <w:ilvl w:val="3"/>
          <w:numId w:val="2"/>
        </w:numPr>
        <w:spacing w:after="120"/>
        <w:ind w:left="567"/>
        <w:rPr>
          <w:sz w:val="24"/>
          <w:szCs w:val="24"/>
        </w:rPr>
      </w:pPr>
      <w:r>
        <w:rPr>
          <w:sz w:val="24"/>
          <w:szCs w:val="24"/>
        </w:rPr>
        <w:t xml:space="preserve">Generazione di </w:t>
      </w:r>
      <w:r>
        <w:rPr>
          <w:b/>
          <w:bCs/>
          <w:sz w:val="24"/>
          <w:szCs w:val="24"/>
        </w:rPr>
        <w:t>cellule staminali pluripotenti indotte</w:t>
      </w:r>
      <w:r>
        <w:rPr>
          <w:bCs/>
          <w:sz w:val="24"/>
          <w:szCs w:val="24"/>
        </w:rPr>
        <w:t xml:space="preserve"> </w:t>
      </w:r>
      <w:r>
        <w:rPr>
          <w:b/>
          <w:bCs/>
          <w:sz w:val="24"/>
          <w:szCs w:val="24"/>
        </w:rPr>
        <w:t>(</w:t>
      </w:r>
      <w:proofErr w:type="spellStart"/>
      <w:r>
        <w:rPr>
          <w:b/>
          <w:bCs/>
          <w:sz w:val="24"/>
          <w:szCs w:val="24"/>
        </w:rPr>
        <w:t>iPS</w:t>
      </w:r>
      <w:proofErr w:type="spellEnd"/>
      <w:r>
        <w:rPr>
          <w:b/>
          <w:bCs/>
          <w:sz w:val="24"/>
          <w:szCs w:val="24"/>
        </w:rPr>
        <w:t xml:space="preserve">) </w:t>
      </w:r>
      <w:r>
        <w:rPr>
          <w:bCs/>
          <w:sz w:val="24"/>
          <w:szCs w:val="24"/>
        </w:rPr>
        <w:t>ottenute da fibroblasti cutanei e cellule mononucleate del sangue periferico</w:t>
      </w:r>
      <w:r>
        <w:rPr>
          <w:sz w:val="24"/>
          <w:szCs w:val="24"/>
        </w:rPr>
        <w:t xml:space="preserve"> e generazione di modelli cellulari umani </w:t>
      </w:r>
      <w:r>
        <w:rPr>
          <w:i/>
          <w:sz w:val="24"/>
          <w:szCs w:val="24"/>
        </w:rPr>
        <w:t>in vitro</w:t>
      </w:r>
      <w:r>
        <w:rPr>
          <w:bCs/>
          <w:sz w:val="24"/>
          <w:szCs w:val="24"/>
        </w:rPr>
        <w:t>.</w:t>
      </w:r>
    </w:p>
    <w:p>
      <w:pPr>
        <w:pStyle w:val="Paragrafoelenco"/>
        <w:numPr>
          <w:ilvl w:val="3"/>
          <w:numId w:val="2"/>
        </w:numPr>
        <w:spacing w:after="120"/>
        <w:ind w:left="567"/>
        <w:rPr>
          <w:sz w:val="24"/>
          <w:szCs w:val="24"/>
        </w:rPr>
      </w:pPr>
      <w:r>
        <w:rPr>
          <w:sz w:val="24"/>
          <w:szCs w:val="24"/>
        </w:rPr>
        <w:t xml:space="preserve">Generazione e mantenimento di </w:t>
      </w:r>
      <w:r>
        <w:rPr>
          <w:b/>
          <w:sz w:val="24"/>
          <w:szCs w:val="24"/>
        </w:rPr>
        <w:t>colture di cellule primarie</w:t>
      </w:r>
      <w:r>
        <w:rPr>
          <w:sz w:val="24"/>
          <w:szCs w:val="24"/>
        </w:rPr>
        <w:t xml:space="preserve"> derivate da diversi tessuti (muscolo, epitelio bronchiale, cute)</w:t>
      </w:r>
    </w:p>
    <w:p>
      <w:pPr>
        <w:pStyle w:val="Paragrafoelenco"/>
        <w:numPr>
          <w:ilvl w:val="3"/>
          <w:numId w:val="2"/>
        </w:numPr>
        <w:spacing w:after="120"/>
        <w:ind w:left="567"/>
        <w:rPr>
          <w:sz w:val="24"/>
          <w:szCs w:val="24"/>
        </w:rPr>
      </w:pPr>
      <w:r>
        <w:rPr>
          <w:b/>
          <w:sz w:val="24"/>
          <w:szCs w:val="24"/>
        </w:rPr>
        <w:t>Analisi biochimiche e morfo-funzionali</w:t>
      </w:r>
      <w:r>
        <w:rPr>
          <w:sz w:val="24"/>
          <w:szCs w:val="24"/>
        </w:rPr>
        <w:t xml:space="preserve"> in modelli cellulari mediante tecniche di immunocitochimica e immunofluorescenza.</w:t>
      </w:r>
    </w:p>
    <w:p>
      <w:pPr>
        <w:pStyle w:val="Paragrafoelenco"/>
        <w:numPr>
          <w:ilvl w:val="3"/>
          <w:numId w:val="2"/>
        </w:numPr>
        <w:spacing w:after="120"/>
        <w:ind w:left="567"/>
        <w:rPr>
          <w:sz w:val="24"/>
          <w:szCs w:val="24"/>
        </w:rPr>
      </w:pPr>
      <w:r>
        <w:rPr>
          <w:sz w:val="24"/>
          <w:szCs w:val="24"/>
        </w:rPr>
        <w:lastRenderedPageBreak/>
        <w:t xml:space="preserve">Analisi delle proprietà cellulari mediante tecniche di </w:t>
      </w:r>
      <w:r>
        <w:rPr>
          <w:b/>
          <w:sz w:val="24"/>
          <w:szCs w:val="24"/>
        </w:rPr>
        <w:t>elettrofisiologia sperimentale</w:t>
      </w:r>
      <w:r>
        <w:rPr>
          <w:sz w:val="24"/>
          <w:szCs w:val="24"/>
        </w:rPr>
        <w:t xml:space="preserve"> </w:t>
      </w:r>
    </w:p>
    <w:p>
      <w:pPr>
        <w:pStyle w:val="Paragrafoelenco"/>
        <w:spacing w:after="120"/>
        <w:ind w:left="284" w:hanging="284"/>
        <w:rPr>
          <w:sz w:val="24"/>
          <w:szCs w:val="24"/>
        </w:rPr>
      </w:pPr>
    </w:p>
    <w:p>
      <w:pPr>
        <w:spacing w:after="120"/>
        <w:jc w:val="both"/>
        <w:rPr>
          <w:b/>
          <w:bCs/>
          <w:sz w:val="24"/>
          <w:szCs w:val="24"/>
        </w:rPr>
      </w:pPr>
      <w:r>
        <w:rPr>
          <w:b/>
          <w:bCs/>
          <w:sz w:val="24"/>
          <w:szCs w:val="24"/>
        </w:rPr>
        <w:t>APPROCCI TERAPEUTICI INNOVATIVI</w:t>
      </w:r>
    </w:p>
    <w:p>
      <w:pPr>
        <w:pStyle w:val="Paragrafoelenco"/>
        <w:numPr>
          <w:ilvl w:val="0"/>
          <w:numId w:val="4"/>
        </w:numPr>
        <w:spacing w:after="120"/>
        <w:jc w:val="both"/>
        <w:rPr>
          <w:sz w:val="24"/>
          <w:szCs w:val="24"/>
        </w:rPr>
      </w:pPr>
      <w:r>
        <w:rPr>
          <w:sz w:val="24"/>
          <w:szCs w:val="24"/>
        </w:rPr>
        <w:t xml:space="preserve">Ricerca di </w:t>
      </w:r>
      <w:r>
        <w:rPr>
          <w:b/>
          <w:bCs/>
          <w:sz w:val="24"/>
          <w:szCs w:val="24"/>
        </w:rPr>
        <w:t>nuovi bersagli molecolari</w:t>
      </w:r>
      <w:r>
        <w:rPr>
          <w:sz w:val="24"/>
          <w:szCs w:val="24"/>
        </w:rPr>
        <w:t xml:space="preserve"> per malattie genetiche o di rilevanza pediatrica</w:t>
      </w:r>
    </w:p>
    <w:p>
      <w:pPr>
        <w:pStyle w:val="Paragrafoelenco"/>
        <w:numPr>
          <w:ilvl w:val="0"/>
          <w:numId w:val="4"/>
        </w:numPr>
        <w:spacing w:after="120"/>
        <w:jc w:val="both"/>
        <w:rPr>
          <w:sz w:val="24"/>
          <w:szCs w:val="24"/>
        </w:rPr>
      </w:pPr>
      <w:r>
        <w:rPr>
          <w:sz w:val="24"/>
          <w:szCs w:val="24"/>
        </w:rPr>
        <w:t xml:space="preserve">Screening di </w:t>
      </w:r>
      <w:r>
        <w:rPr>
          <w:b/>
          <w:bCs/>
          <w:sz w:val="24"/>
          <w:szCs w:val="24"/>
        </w:rPr>
        <w:t>modulatori farmacologici</w:t>
      </w:r>
      <w:r>
        <w:rPr>
          <w:sz w:val="24"/>
          <w:szCs w:val="24"/>
        </w:rPr>
        <w:t xml:space="preserve"> mediante tecniche high-</w:t>
      </w:r>
      <w:proofErr w:type="spellStart"/>
      <w:r>
        <w:rPr>
          <w:sz w:val="24"/>
          <w:szCs w:val="24"/>
        </w:rPr>
        <w:t>throughput</w:t>
      </w:r>
      <w:proofErr w:type="spellEnd"/>
      <w:r>
        <w:rPr>
          <w:sz w:val="24"/>
          <w:szCs w:val="24"/>
        </w:rPr>
        <w:t xml:space="preserve"> screening (HTS) su modelli cellulari</w:t>
      </w:r>
    </w:p>
    <w:p>
      <w:pPr>
        <w:pStyle w:val="Paragrafoelenco"/>
        <w:numPr>
          <w:ilvl w:val="0"/>
          <w:numId w:val="4"/>
        </w:numPr>
        <w:spacing w:after="120"/>
        <w:jc w:val="both"/>
        <w:rPr>
          <w:sz w:val="24"/>
          <w:szCs w:val="24"/>
        </w:rPr>
      </w:pPr>
      <w:r>
        <w:rPr>
          <w:sz w:val="24"/>
          <w:szCs w:val="24"/>
        </w:rPr>
        <w:t xml:space="preserve">Sviluppo di nuovi saggi di screening basati su </w:t>
      </w:r>
      <w:r>
        <w:rPr>
          <w:b/>
          <w:bCs/>
          <w:sz w:val="24"/>
          <w:szCs w:val="24"/>
        </w:rPr>
        <w:t>high-</w:t>
      </w:r>
      <w:proofErr w:type="spellStart"/>
      <w:r>
        <w:rPr>
          <w:b/>
          <w:bCs/>
          <w:sz w:val="24"/>
          <w:szCs w:val="24"/>
        </w:rPr>
        <w:t>content</w:t>
      </w:r>
      <w:proofErr w:type="spellEnd"/>
      <w:r>
        <w:rPr>
          <w:b/>
          <w:bCs/>
          <w:sz w:val="24"/>
          <w:szCs w:val="24"/>
        </w:rPr>
        <w:t xml:space="preserve"> </w:t>
      </w:r>
      <w:proofErr w:type="spellStart"/>
      <w:r>
        <w:rPr>
          <w:b/>
          <w:bCs/>
          <w:sz w:val="24"/>
          <w:szCs w:val="24"/>
        </w:rPr>
        <w:t>imaging</w:t>
      </w:r>
      <w:proofErr w:type="spellEnd"/>
      <w:r>
        <w:rPr>
          <w:b/>
          <w:bCs/>
          <w:sz w:val="24"/>
          <w:szCs w:val="24"/>
        </w:rPr>
        <w:t xml:space="preserve"> </w:t>
      </w:r>
    </w:p>
    <w:p>
      <w:pPr>
        <w:pStyle w:val="Paragrafoelenco"/>
        <w:numPr>
          <w:ilvl w:val="0"/>
          <w:numId w:val="4"/>
        </w:numPr>
        <w:spacing w:after="120"/>
        <w:jc w:val="both"/>
        <w:rPr>
          <w:sz w:val="24"/>
          <w:szCs w:val="24"/>
        </w:rPr>
      </w:pPr>
      <w:r>
        <w:rPr>
          <w:bCs/>
          <w:sz w:val="24"/>
          <w:szCs w:val="24"/>
        </w:rPr>
        <w:t xml:space="preserve">Identificazione di </w:t>
      </w:r>
      <w:r>
        <w:rPr>
          <w:b/>
          <w:bCs/>
          <w:sz w:val="24"/>
          <w:szCs w:val="24"/>
        </w:rPr>
        <w:t xml:space="preserve">nuove molecole per il </w:t>
      </w:r>
      <w:proofErr w:type="spellStart"/>
      <w:r>
        <w:rPr>
          <w:b/>
          <w:bCs/>
          <w:sz w:val="24"/>
          <w:szCs w:val="24"/>
        </w:rPr>
        <w:t>targeting</w:t>
      </w:r>
      <w:proofErr w:type="spellEnd"/>
      <w:r>
        <w:rPr>
          <w:b/>
          <w:bCs/>
          <w:sz w:val="24"/>
          <w:szCs w:val="24"/>
        </w:rPr>
        <w:t xml:space="preserve"> selettivo</w:t>
      </w:r>
      <w:r>
        <w:rPr>
          <w:bCs/>
          <w:sz w:val="24"/>
          <w:szCs w:val="24"/>
        </w:rPr>
        <w:t xml:space="preserve"> di geni coinvolti in malattie genetiche.</w:t>
      </w:r>
    </w:p>
    <w:p>
      <w:pPr>
        <w:spacing w:after="120"/>
        <w:jc w:val="both"/>
        <w:rPr>
          <w:b/>
          <w:bCs/>
          <w:sz w:val="24"/>
          <w:szCs w:val="24"/>
        </w:rPr>
      </w:pPr>
    </w:p>
    <w:p>
      <w:pPr>
        <w:spacing w:after="120"/>
        <w:rPr>
          <w:b/>
          <w:bCs/>
          <w:sz w:val="24"/>
          <w:szCs w:val="24"/>
        </w:rPr>
      </w:pPr>
      <w:r>
        <w:rPr>
          <w:b/>
          <w:bCs/>
          <w:sz w:val="24"/>
          <w:szCs w:val="24"/>
        </w:rPr>
        <w:t>MALATTIE GENETICHE DI INTERESSE</w:t>
      </w:r>
    </w:p>
    <w:p>
      <w:pPr>
        <w:pStyle w:val="Paragrafoelenco"/>
        <w:numPr>
          <w:ilvl w:val="0"/>
          <w:numId w:val="6"/>
        </w:numPr>
        <w:spacing w:after="120"/>
        <w:rPr>
          <w:sz w:val="24"/>
          <w:szCs w:val="24"/>
        </w:rPr>
      </w:pPr>
      <w:proofErr w:type="spellStart"/>
      <w:r>
        <w:rPr>
          <w:b/>
          <w:bCs/>
          <w:sz w:val="24"/>
          <w:szCs w:val="24"/>
        </w:rPr>
        <w:t>Fibrodisplasia</w:t>
      </w:r>
      <w:proofErr w:type="spellEnd"/>
      <w:r>
        <w:rPr>
          <w:b/>
          <w:bCs/>
          <w:sz w:val="24"/>
          <w:szCs w:val="24"/>
        </w:rPr>
        <w:t xml:space="preserve"> ossificante progressiva</w:t>
      </w:r>
      <w:r>
        <w:rPr>
          <w:sz w:val="24"/>
          <w:szCs w:val="24"/>
        </w:rPr>
        <w:t xml:space="preserve"> (FOP): Sviluppo di nuovi approcci terapeutici ed implicazioni per altre condizioni legate ad alterazione del "</w:t>
      </w:r>
      <w:proofErr w:type="spellStart"/>
      <w:r>
        <w:rPr>
          <w:sz w:val="24"/>
          <w:szCs w:val="24"/>
        </w:rPr>
        <w:t>signaling</w:t>
      </w:r>
      <w:proofErr w:type="spellEnd"/>
      <w:r>
        <w:rPr>
          <w:sz w:val="24"/>
          <w:szCs w:val="24"/>
        </w:rPr>
        <w:t>" BMP-dipendente</w:t>
      </w:r>
    </w:p>
    <w:p>
      <w:pPr>
        <w:pStyle w:val="Paragrafoelenco"/>
        <w:numPr>
          <w:ilvl w:val="0"/>
          <w:numId w:val="6"/>
        </w:numPr>
        <w:spacing w:after="120"/>
        <w:rPr>
          <w:sz w:val="24"/>
          <w:szCs w:val="24"/>
        </w:rPr>
      </w:pPr>
      <w:r>
        <w:rPr>
          <w:b/>
          <w:bCs/>
          <w:sz w:val="24"/>
          <w:szCs w:val="24"/>
        </w:rPr>
        <w:t>Sindrome di Poland</w:t>
      </w:r>
      <w:r>
        <w:rPr>
          <w:sz w:val="24"/>
          <w:szCs w:val="24"/>
        </w:rPr>
        <w:t xml:space="preserve">: studio della eterogeneità genetica ipotizzata per tale condizione, e delle diverse vie molecolari coinvolte. </w:t>
      </w:r>
    </w:p>
    <w:p>
      <w:pPr>
        <w:pStyle w:val="Paragrafoelenco"/>
        <w:numPr>
          <w:ilvl w:val="0"/>
          <w:numId w:val="6"/>
        </w:numPr>
        <w:spacing w:after="120"/>
        <w:rPr>
          <w:sz w:val="24"/>
          <w:szCs w:val="24"/>
        </w:rPr>
      </w:pPr>
      <w:r>
        <w:rPr>
          <w:b/>
          <w:bCs/>
          <w:sz w:val="24"/>
          <w:szCs w:val="24"/>
        </w:rPr>
        <w:t>Atassia</w:t>
      </w:r>
      <w:r>
        <w:rPr>
          <w:sz w:val="24"/>
          <w:szCs w:val="24"/>
        </w:rPr>
        <w:t>: ruolo del</w:t>
      </w:r>
      <w:r>
        <w:rPr>
          <w:b/>
          <w:bCs/>
          <w:sz w:val="24"/>
          <w:szCs w:val="24"/>
        </w:rPr>
        <w:t xml:space="preserve"> </w:t>
      </w:r>
      <w:r>
        <w:rPr>
          <w:sz w:val="24"/>
          <w:szCs w:val="24"/>
        </w:rPr>
        <w:t>gene Grm1 nell’atassia oltre che in altri disordini neurologici.</w:t>
      </w:r>
    </w:p>
    <w:p>
      <w:pPr>
        <w:pStyle w:val="Paragrafoelenco"/>
        <w:numPr>
          <w:ilvl w:val="0"/>
          <w:numId w:val="6"/>
        </w:numPr>
        <w:spacing w:after="120"/>
        <w:rPr>
          <w:sz w:val="24"/>
          <w:szCs w:val="24"/>
        </w:rPr>
      </w:pPr>
      <w:r>
        <w:rPr>
          <w:b/>
          <w:bCs/>
          <w:sz w:val="24"/>
          <w:szCs w:val="24"/>
        </w:rPr>
        <w:t>Disordini dello spettro autistico e disabilità intellettiva</w:t>
      </w:r>
      <w:r>
        <w:rPr>
          <w:sz w:val="24"/>
          <w:szCs w:val="24"/>
        </w:rPr>
        <w:t>: ricerca delle componenti genetiche mediante diversi approcci genomici</w:t>
      </w:r>
    </w:p>
    <w:p>
      <w:pPr>
        <w:pStyle w:val="Paragrafoelenco"/>
        <w:numPr>
          <w:ilvl w:val="0"/>
          <w:numId w:val="6"/>
        </w:numPr>
        <w:spacing w:after="120"/>
        <w:rPr>
          <w:sz w:val="24"/>
          <w:szCs w:val="24"/>
        </w:rPr>
      </w:pPr>
      <w:r>
        <w:rPr>
          <w:b/>
          <w:bCs/>
          <w:sz w:val="24"/>
          <w:szCs w:val="24"/>
        </w:rPr>
        <w:t>Fibrosi cistica</w:t>
      </w:r>
    </w:p>
    <w:p>
      <w:pPr>
        <w:pStyle w:val="Paragrafoelenco"/>
        <w:numPr>
          <w:ilvl w:val="0"/>
          <w:numId w:val="8"/>
        </w:numPr>
        <w:spacing w:after="120"/>
        <w:ind w:left="851"/>
        <w:jc w:val="both"/>
        <w:rPr>
          <w:sz w:val="24"/>
          <w:szCs w:val="24"/>
        </w:rPr>
      </w:pPr>
      <w:r>
        <w:rPr>
          <w:sz w:val="24"/>
          <w:szCs w:val="24"/>
        </w:rPr>
        <w:t xml:space="preserve">Ricerca di modulatori farmacologici (correttori e potenziatori) della proteina CFTR </w:t>
      </w:r>
    </w:p>
    <w:p>
      <w:pPr>
        <w:pStyle w:val="Paragrafoelenco"/>
        <w:numPr>
          <w:ilvl w:val="0"/>
          <w:numId w:val="8"/>
        </w:numPr>
        <w:spacing w:after="120"/>
        <w:ind w:left="851"/>
        <w:jc w:val="both"/>
        <w:rPr>
          <w:sz w:val="24"/>
          <w:szCs w:val="24"/>
        </w:rPr>
      </w:pPr>
      <w:r>
        <w:rPr>
          <w:sz w:val="24"/>
          <w:szCs w:val="24"/>
        </w:rPr>
        <w:t>Definizione di nuovi bersagli molecolari per il recupero della proteina CFTR mutata mediante approcci di genomica funzionale e biologia chimica</w:t>
      </w:r>
    </w:p>
    <w:p>
      <w:pPr>
        <w:pStyle w:val="Paragrafoelenco"/>
        <w:numPr>
          <w:ilvl w:val="0"/>
          <w:numId w:val="8"/>
        </w:numPr>
        <w:spacing w:after="120"/>
        <w:ind w:left="851"/>
        <w:jc w:val="both"/>
        <w:rPr>
          <w:sz w:val="24"/>
          <w:szCs w:val="24"/>
        </w:rPr>
      </w:pPr>
      <w:r>
        <w:rPr>
          <w:sz w:val="24"/>
          <w:szCs w:val="24"/>
        </w:rPr>
        <w:t>Sviluppo di nuovi approcci terapeutici basati su piccole molecole trasportatori di anioni per la correzione del difetto nella fibrosi cistica</w:t>
      </w:r>
    </w:p>
    <w:p>
      <w:pPr>
        <w:pStyle w:val="Paragrafoelenco"/>
        <w:numPr>
          <w:ilvl w:val="0"/>
          <w:numId w:val="8"/>
        </w:numPr>
        <w:spacing w:after="120"/>
        <w:ind w:left="851"/>
        <w:jc w:val="both"/>
        <w:rPr>
          <w:sz w:val="24"/>
          <w:szCs w:val="24"/>
        </w:rPr>
      </w:pPr>
      <w:r>
        <w:rPr>
          <w:sz w:val="24"/>
          <w:szCs w:val="24"/>
        </w:rPr>
        <w:t>Studio delle proprietà del muco delle vie aeree e dei cambiamenti indotti dalla modulazione dell’attività di CFTR</w:t>
      </w:r>
    </w:p>
    <w:p>
      <w:pPr>
        <w:pStyle w:val="Paragrafoelenco"/>
        <w:numPr>
          <w:ilvl w:val="0"/>
          <w:numId w:val="8"/>
        </w:numPr>
        <w:spacing w:after="120"/>
        <w:ind w:left="851"/>
        <w:jc w:val="both"/>
        <w:rPr>
          <w:sz w:val="24"/>
          <w:szCs w:val="24"/>
        </w:rPr>
      </w:pPr>
      <w:r>
        <w:rPr>
          <w:sz w:val="24"/>
          <w:szCs w:val="24"/>
        </w:rPr>
        <w:t>Caratterizzazione del meccanismo molecolare di mutazioni rare associate a fibrosi cistica e determinazione della loro responsività a farmaci modulatori di CFTR.</w:t>
      </w:r>
    </w:p>
    <w:p>
      <w:pPr>
        <w:pStyle w:val="Paragrafoelenco"/>
        <w:numPr>
          <w:ilvl w:val="0"/>
          <w:numId w:val="9"/>
        </w:numPr>
        <w:spacing w:after="120"/>
        <w:jc w:val="both"/>
        <w:rPr>
          <w:sz w:val="24"/>
          <w:szCs w:val="24"/>
        </w:rPr>
      </w:pPr>
      <w:r>
        <w:rPr>
          <w:b/>
          <w:bCs/>
          <w:sz w:val="24"/>
          <w:szCs w:val="24"/>
        </w:rPr>
        <w:t xml:space="preserve">Sindrome di Down: </w:t>
      </w:r>
      <w:r>
        <w:rPr>
          <w:sz w:val="24"/>
          <w:szCs w:val="24"/>
        </w:rPr>
        <w:t xml:space="preserve">Identificazione di modulatori di DYRK1A, un nuovo possibile bersaglio farmacologico, mediante saggi basati su analisi altamente informative in microscopia ad alta risoluzione di singole cellule. Studio della trasmissione sinaptica in neuroni derivati da fibroblasti medicante tecniche di riprogrammazione cellulare. </w:t>
      </w:r>
    </w:p>
    <w:p>
      <w:pPr>
        <w:pStyle w:val="Paragrafoelenco"/>
        <w:numPr>
          <w:ilvl w:val="0"/>
          <w:numId w:val="6"/>
        </w:numPr>
        <w:spacing w:after="120"/>
        <w:jc w:val="both"/>
        <w:rPr>
          <w:b/>
          <w:bCs/>
          <w:sz w:val="24"/>
          <w:szCs w:val="24"/>
        </w:rPr>
      </w:pPr>
      <w:r>
        <w:rPr>
          <w:b/>
          <w:bCs/>
          <w:sz w:val="24"/>
          <w:szCs w:val="24"/>
        </w:rPr>
        <w:t>Epilessie</w:t>
      </w:r>
    </w:p>
    <w:p>
      <w:pPr>
        <w:pStyle w:val="Paragrafoelenco"/>
        <w:numPr>
          <w:ilvl w:val="0"/>
          <w:numId w:val="11"/>
        </w:numPr>
        <w:spacing w:after="120"/>
        <w:ind w:left="851" w:hanging="284"/>
        <w:jc w:val="both"/>
        <w:rPr>
          <w:sz w:val="24"/>
          <w:szCs w:val="24"/>
        </w:rPr>
      </w:pPr>
      <w:r>
        <w:rPr>
          <w:sz w:val="24"/>
          <w:szCs w:val="24"/>
        </w:rPr>
        <w:lastRenderedPageBreak/>
        <w:t>Identificazione di geni in sindromi epilettiche monogeniche rare (encefalopatie epilettiche e sindromi malformative con epilessia)</w:t>
      </w:r>
    </w:p>
    <w:p>
      <w:pPr>
        <w:pStyle w:val="Paragrafoelenco"/>
        <w:numPr>
          <w:ilvl w:val="0"/>
          <w:numId w:val="11"/>
        </w:numPr>
        <w:spacing w:after="120"/>
        <w:ind w:left="851" w:hanging="284"/>
        <w:jc w:val="both"/>
        <w:rPr>
          <w:sz w:val="24"/>
          <w:szCs w:val="24"/>
        </w:rPr>
      </w:pPr>
      <w:r>
        <w:rPr>
          <w:sz w:val="24"/>
          <w:szCs w:val="24"/>
        </w:rPr>
        <w:t xml:space="preserve">Identificazione di fattori di suscettibilità alle forme comuni di epilessia mediante studi di associazione (GWAS) e di sequenziamento </w:t>
      </w:r>
      <w:proofErr w:type="spellStart"/>
      <w:r>
        <w:rPr>
          <w:sz w:val="24"/>
          <w:szCs w:val="24"/>
        </w:rPr>
        <w:t>esomico</w:t>
      </w:r>
      <w:proofErr w:type="spellEnd"/>
      <w:r>
        <w:rPr>
          <w:sz w:val="24"/>
          <w:szCs w:val="24"/>
        </w:rPr>
        <w:t xml:space="preserve"> (WES)</w:t>
      </w:r>
    </w:p>
    <w:p>
      <w:pPr>
        <w:pStyle w:val="Paragrafoelenco"/>
        <w:numPr>
          <w:ilvl w:val="0"/>
          <w:numId w:val="11"/>
        </w:numPr>
        <w:spacing w:after="120"/>
        <w:ind w:left="851" w:hanging="284"/>
        <w:jc w:val="both"/>
        <w:rPr>
          <w:sz w:val="24"/>
          <w:szCs w:val="24"/>
        </w:rPr>
      </w:pPr>
      <w:r>
        <w:rPr>
          <w:sz w:val="24"/>
          <w:szCs w:val="24"/>
        </w:rPr>
        <w:t>Studi di farmacogenomica</w:t>
      </w:r>
    </w:p>
    <w:p>
      <w:pPr>
        <w:pStyle w:val="Paragrafoelenco"/>
        <w:numPr>
          <w:ilvl w:val="0"/>
          <w:numId w:val="11"/>
        </w:numPr>
        <w:spacing w:after="120"/>
        <w:ind w:left="851" w:hanging="284"/>
        <w:jc w:val="both"/>
        <w:rPr>
          <w:sz w:val="24"/>
          <w:szCs w:val="24"/>
        </w:rPr>
      </w:pPr>
      <w:r>
        <w:rPr>
          <w:sz w:val="24"/>
          <w:szCs w:val="24"/>
        </w:rPr>
        <w:t>Studio dei meccanismi patogenetici nelle epilessie mendeliane</w:t>
      </w:r>
    </w:p>
    <w:p>
      <w:pPr>
        <w:pStyle w:val="Paragrafoelenco"/>
        <w:numPr>
          <w:ilvl w:val="0"/>
          <w:numId w:val="11"/>
        </w:numPr>
        <w:spacing w:after="120"/>
        <w:ind w:left="851" w:hanging="284"/>
        <w:jc w:val="both"/>
        <w:rPr>
          <w:sz w:val="24"/>
          <w:szCs w:val="24"/>
        </w:rPr>
      </w:pPr>
      <w:r>
        <w:rPr>
          <w:sz w:val="24"/>
          <w:szCs w:val="24"/>
        </w:rPr>
        <w:t xml:space="preserve">Sviluppo di terapie innovative per il recupero funzionale delle </w:t>
      </w:r>
      <w:proofErr w:type="spellStart"/>
      <w:r>
        <w:rPr>
          <w:sz w:val="24"/>
          <w:szCs w:val="24"/>
        </w:rPr>
        <w:t>aploinsufficienze</w:t>
      </w:r>
      <w:proofErr w:type="spellEnd"/>
    </w:p>
    <w:p>
      <w:pPr>
        <w:pStyle w:val="Paragrafoelenco"/>
        <w:numPr>
          <w:ilvl w:val="0"/>
          <w:numId w:val="6"/>
        </w:numPr>
        <w:spacing w:after="120"/>
        <w:jc w:val="both"/>
        <w:rPr>
          <w:sz w:val="24"/>
          <w:szCs w:val="24"/>
        </w:rPr>
      </w:pPr>
      <w:r>
        <w:rPr>
          <w:b/>
          <w:sz w:val="24"/>
          <w:szCs w:val="24"/>
        </w:rPr>
        <w:t xml:space="preserve">Encefalopatie e Disturbi del </w:t>
      </w:r>
      <w:proofErr w:type="spellStart"/>
      <w:r>
        <w:rPr>
          <w:b/>
          <w:sz w:val="24"/>
          <w:szCs w:val="24"/>
        </w:rPr>
        <w:t>Neurosviluppo</w:t>
      </w:r>
      <w:proofErr w:type="spellEnd"/>
      <w:r>
        <w:rPr>
          <w:b/>
          <w:sz w:val="24"/>
          <w:szCs w:val="24"/>
        </w:rPr>
        <w:t>:</w:t>
      </w:r>
      <w:r>
        <w:rPr>
          <w:sz w:val="24"/>
          <w:szCs w:val="24"/>
        </w:rPr>
        <w:t xml:space="preserve"> Identificazione e caratterizzazione funzionale di nuovi geni in forme non diagnosticate e Correlazioni genotipo-fenotipo.</w:t>
      </w:r>
    </w:p>
    <w:p>
      <w:pPr>
        <w:pStyle w:val="Paragrafoelenco"/>
        <w:numPr>
          <w:ilvl w:val="0"/>
          <w:numId w:val="6"/>
        </w:numPr>
        <w:spacing w:after="120"/>
        <w:jc w:val="both"/>
        <w:rPr>
          <w:b/>
          <w:bCs/>
          <w:sz w:val="24"/>
          <w:szCs w:val="24"/>
        </w:rPr>
      </w:pPr>
      <w:r>
        <w:rPr>
          <w:b/>
          <w:bCs/>
          <w:sz w:val="24"/>
          <w:szCs w:val="24"/>
        </w:rPr>
        <w:t>Malformazioni del sistema nervoso centrale</w:t>
      </w:r>
    </w:p>
    <w:p>
      <w:pPr>
        <w:pStyle w:val="Paragrafoelenco"/>
        <w:numPr>
          <w:ilvl w:val="0"/>
          <w:numId w:val="14"/>
        </w:numPr>
        <w:spacing w:after="120"/>
        <w:ind w:left="851" w:hanging="284"/>
        <w:jc w:val="both"/>
        <w:rPr>
          <w:sz w:val="24"/>
          <w:szCs w:val="24"/>
        </w:rPr>
      </w:pPr>
      <w:r>
        <w:rPr>
          <w:sz w:val="24"/>
          <w:szCs w:val="24"/>
        </w:rPr>
        <w:t>Identificazione di fattori genetici associati a Difetti del Tubo Neurale</w:t>
      </w:r>
    </w:p>
    <w:p>
      <w:pPr>
        <w:pStyle w:val="Paragrafoelenco"/>
        <w:numPr>
          <w:ilvl w:val="0"/>
          <w:numId w:val="14"/>
        </w:numPr>
        <w:spacing w:after="120"/>
        <w:ind w:left="851" w:hanging="284"/>
        <w:jc w:val="both"/>
        <w:rPr>
          <w:sz w:val="24"/>
          <w:szCs w:val="24"/>
        </w:rPr>
      </w:pPr>
      <w:r>
        <w:rPr>
          <w:sz w:val="24"/>
          <w:szCs w:val="24"/>
        </w:rPr>
        <w:t>Identificazione di geni responsabili di forme familiari di Malformazioni di Chiari I</w:t>
      </w:r>
    </w:p>
    <w:p>
      <w:pPr>
        <w:pStyle w:val="Paragrafoelenco"/>
        <w:numPr>
          <w:ilvl w:val="0"/>
          <w:numId w:val="14"/>
        </w:numPr>
        <w:spacing w:after="120"/>
        <w:ind w:left="851" w:hanging="284"/>
        <w:jc w:val="both"/>
        <w:rPr>
          <w:sz w:val="24"/>
          <w:szCs w:val="24"/>
        </w:rPr>
      </w:pPr>
      <w:r>
        <w:rPr>
          <w:sz w:val="24"/>
          <w:szCs w:val="24"/>
        </w:rPr>
        <w:t xml:space="preserve">Studi genetico-molecolari della Sindrome di </w:t>
      </w:r>
      <w:proofErr w:type="spellStart"/>
      <w:r>
        <w:rPr>
          <w:sz w:val="24"/>
          <w:szCs w:val="24"/>
        </w:rPr>
        <w:t>Moya-Moya</w:t>
      </w:r>
      <w:proofErr w:type="spellEnd"/>
    </w:p>
    <w:p>
      <w:pPr>
        <w:pStyle w:val="Paragrafoelenco"/>
        <w:numPr>
          <w:ilvl w:val="0"/>
          <w:numId w:val="12"/>
        </w:numPr>
        <w:spacing w:after="120"/>
        <w:jc w:val="both"/>
        <w:rPr>
          <w:sz w:val="24"/>
          <w:szCs w:val="24"/>
        </w:rPr>
      </w:pPr>
      <w:r>
        <w:rPr>
          <w:b/>
          <w:bCs/>
          <w:sz w:val="24"/>
          <w:szCs w:val="24"/>
        </w:rPr>
        <w:t xml:space="preserve">Malattie </w:t>
      </w:r>
      <w:proofErr w:type="spellStart"/>
      <w:r>
        <w:rPr>
          <w:b/>
          <w:bCs/>
          <w:sz w:val="24"/>
          <w:szCs w:val="24"/>
        </w:rPr>
        <w:t>autoinfiammatorie</w:t>
      </w:r>
      <w:proofErr w:type="spellEnd"/>
      <w:r>
        <w:rPr>
          <w:b/>
          <w:bCs/>
          <w:sz w:val="24"/>
          <w:szCs w:val="24"/>
        </w:rPr>
        <w:t xml:space="preserve"> monogeniche: </w:t>
      </w:r>
      <w:r>
        <w:rPr>
          <w:sz w:val="24"/>
          <w:szCs w:val="24"/>
        </w:rPr>
        <w:t>Identificazione di nuovi approcci terapeutici p</w:t>
      </w:r>
      <w:r>
        <w:rPr>
          <w:color w:val="002060"/>
          <w:sz w:val="24"/>
          <w:szCs w:val="24"/>
          <w:u w:color="002060"/>
        </w:rPr>
        <w:t>er</w:t>
      </w:r>
      <w:r>
        <w:rPr>
          <w:sz w:val="24"/>
          <w:szCs w:val="24"/>
        </w:rPr>
        <w:t xml:space="preserve"> malattie </w:t>
      </w:r>
      <w:proofErr w:type="spellStart"/>
      <w:r>
        <w:rPr>
          <w:sz w:val="24"/>
          <w:szCs w:val="24"/>
        </w:rPr>
        <w:t>autoinfiammatorie</w:t>
      </w:r>
      <w:proofErr w:type="spellEnd"/>
      <w:r>
        <w:rPr>
          <w:sz w:val="24"/>
          <w:szCs w:val="24"/>
        </w:rPr>
        <w:t xml:space="preserve"> monogeniche</w:t>
      </w:r>
      <w:r>
        <w:rPr>
          <w:color w:val="002060"/>
          <w:sz w:val="24"/>
          <w:szCs w:val="24"/>
          <w:u w:color="002060"/>
        </w:rPr>
        <w:t xml:space="preserve">, </w:t>
      </w:r>
      <w:r>
        <w:rPr>
          <w:sz w:val="24"/>
          <w:szCs w:val="24"/>
        </w:rPr>
        <w:t xml:space="preserve">basati sul </w:t>
      </w:r>
      <w:r>
        <w:rPr>
          <w:color w:val="auto"/>
          <w:sz w:val="24"/>
          <w:szCs w:val="24"/>
          <w:u w:color="002060"/>
        </w:rPr>
        <w:t xml:space="preserve">riposizionamento di farmaci, </w:t>
      </w:r>
      <w:r>
        <w:rPr>
          <w:color w:val="auto"/>
          <w:sz w:val="24"/>
          <w:szCs w:val="24"/>
        </w:rPr>
        <w:t>mediante</w:t>
      </w:r>
      <w:r>
        <w:rPr>
          <w:sz w:val="24"/>
          <w:szCs w:val="24"/>
        </w:rPr>
        <w:t xml:space="preserve"> saggi basati su analisi altamente informative in microscopia ad alta risoluzione di singole cellule.</w:t>
      </w:r>
    </w:p>
    <w:p>
      <w:pPr>
        <w:spacing w:after="120"/>
        <w:jc w:val="both"/>
        <w:rPr>
          <w:sz w:val="24"/>
          <w:szCs w:val="24"/>
        </w:rPr>
      </w:pPr>
    </w:p>
    <w:p>
      <w:pPr>
        <w:spacing w:after="120"/>
        <w:jc w:val="both"/>
        <w:rPr>
          <w:sz w:val="24"/>
          <w:szCs w:val="24"/>
        </w:rPr>
      </w:pPr>
      <w:r>
        <w:rPr>
          <w:sz w:val="24"/>
          <w:szCs w:val="24"/>
        </w:rPr>
        <w:t>In allegato le pubblicazioni prodotte nel corso dell’anno 2022 (</w:t>
      </w:r>
      <w:r>
        <w:rPr>
          <w:sz w:val="24"/>
          <w:szCs w:val="24"/>
          <w:highlight w:val="yellow"/>
        </w:rPr>
        <w:t>allegato 4</w:t>
      </w:r>
      <w:r>
        <w:rPr>
          <w:sz w:val="24"/>
          <w:szCs w:val="24"/>
        </w:rPr>
        <w:t>).</w:t>
      </w:r>
    </w:p>
    <w:p>
      <w:pPr>
        <w:spacing w:after="120"/>
        <w:jc w:val="both"/>
        <w:rPr>
          <w:sz w:val="24"/>
          <w:szCs w:val="24"/>
        </w:rPr>
      </w:pPr>
    </w:p>
    <w:p>
      <w:pPr>
        <w:rPr>
          <w:b/>
          <w:bCs/>
          <w:color w:val="4F81BD"/>
          <w:sz w:val="28"/>
          <w:szCs w:val="28"/>
          <w:u w:color="4F81BD"/>
        </w:rPr>
      </w:pPr>
      <w:r>
        <w:rPr>
          <w:b/>
          <w:bCs/>
          <w:color w:val="4F81BD"/>
          <w:sz w:val="28"/>
          <w:szCs w:val="28"/>
          <w:u w:color="4F81BD"/>
        </w:rPr>
        <w:t>Attività Didattica e di Formazione</w:t>
      </w:r>
    </w:p>
    <w:p>
      <w:pPr>
        <w:jc w:val="both"/>
        <w:rPr>
          <w:sz w:val="24"/>
          <w:szCs w:val="24"/>
        </w:rPr>
      </w:pPr>
      <w:r>
        <w:rPr>
          <w:sz w:val="24"/>
          <w:szCs w:val="24"/>
        </w:rPr>
        <w:t>L’Unità Operativa Complessa di Genetica Medica è sede convenzionata con l’Università di Genova per la Scuola di Specializzazione in Genetica Medica e la Scuola di Dottorato in Scienze Pediatriche. Offre pertanto l’opportunità a numerosi laureati in medicina, biotecnologia e biologia di continuare la propria formazione professionale nell’ambito della genetica umana e medica prendendo parte a tutte le attività di ricerca e clinica che vengono svolte nell’Unità.</w:t>
      </w:r>
    </w:p>
    <w:p>
      <w:pPr>
        <w:jc w:val="both"/>
        <w:rPr>
          <w:sz w:val="24"/>
          <w:szCs w:val="24"/>
        </w:rPr>
      </w:pPr>
      <w:r>
        <w:rPr>
          <w:sz w:val="24"/>
          <w:szCs w:val="24"/>
        </w:rPr>
        <w:t xml:space="preserve">Ai fini dello svolgimento delle attività curriculari la UOC Genetica Medica accoglie studenti universitari dell’Università di Genova, per tirocini </w:t>
      </w:r>
      <w:proofErr w:type="spellStart"/>
      <w:r>
        <w:rPr>
          <w:sz w:val="24"/>
          <w:szCs w:val="24"/>
        </w:rPr>
        <w:t>pre</w:t>
      </w:r>
      <w:proofErr w:type="spellEnd"/>
      <w:r>
        <w:rPr>
          <w:sz w:val="24"/>
          <w:szCs w:val="24"/>
        </w:rPr>
        <w:t xml:space="preserve">- e post-laurea e per l’intero percorso formativo necessario al conseguimento delle Laurea triennali in Biologia, Biotecnologie e Professioni sanitarie per Tecnici di Laboratorio Biomedico, Lauree Magistrali in Biotecnologie, Biologia Molecolare Sanitaria e in Medicina e Chirurgia. </w:t>
      </w:r>
    </w:p>
    <w:p>
      <w:pPr>
        <w:jc w:val="both"/>
        <w:rPr>
          <w:sz w:val="24"/>
          <w:szCs w:val="24"/>
        </w:rPr>
      </w:pPr>
      <w:r>
        <w:rPr>
          <w:sz w:val="24"/>
          <w:szCs w:val="24"/>
        </w:rPr>
        <w:t xml:space="preserve">La UOC Genetica Medica organizza corsi accreditati ECM nell’ambito della Genetica umana e medica. In particolare, annualmente propone ed organizza un Corso di Aggiornamento in Genetica Clinica, aperto a diverse figure professionali (Medici, Biologi, Biotecnologi, Tecnici di Laboratorio) sia interne all’Istituto che provenienti da altre strutture. Inoltre, L’Unità organizza con cadenza </w:t>
      </w:r>
      <w:r>
        <w:rPr>
          <w:sz w:val="24"/>
          <w:szCs w:val="24"/>
        </w:rPr>
        <w:lastRenderedPageBreak/>
        <w:t xml:space="preserve">settimanale incontri aperti a tutto il personale dell’Unità e ai collaboratori interni ed esterni all’Istituto basati sulla presentazione e discussione dei più recenti lavori pubblicati su riviste scientifiche internazionali (Journal Club), dei progetti di ricerca e dei dati che derivano dall’attività sperimentale e clinica svolta nell’Unità stessa (Lab Meeting). </w:t>
      </w:r>
    </w:p>
    <w:p>
      <w:pPr>
        <w:rPr>
          <w:b/>
          <w:bCs/>
          <w:color w:val="4F81BD"/>
          <w:sz w:val="28"/>
          <w:szCs w:val="28"/>
          <w:u w:color="4F81BD"/>
        </w:rPr>
      </w:pPr>
    </w:p>
    <w:p>
      <w:pPr>
        <w:spacing w:after="120"/>
        <w:jc w:val="both"/>
        <w:rPr>
          <w:sz w:val="24"/>
          <w:szCs w:val="24"/>
        </w:rPr>
      </w:pPr>
    </w:p>
    <w:sectPr>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Intestazioneepipagina"/>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Intestazioneepipagina"/>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47F"/>
    <w:multiLevelType w:val="hybridMultilevel"/>
    <w:tmpl w:val="3978166C"/>
    <w:numStyleLink w:val="Stileimportato6"/>
  </w:abstractNum>
  <w:abstractNum w:abstractNumId="1" w15:restartNumberingAfterBreak="0">
    <w:nsid w:val="057A48C8"/>
    <w:multiLevelType w:val="hybridMultilevel"/>
    <w:tmpl w:val="E07A4210"/>
    <w:styleLink w:val="Stileimportato4"/>
    <w:lvl w:ilvl="0" w:tplc="CA908938">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6EABDE">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407B46">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5CC0B2">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BE5B56">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302C86">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08B8C0">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76F712">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B64DF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9C155F3"/>
    <w:multiLevelType w:val="hybridMultilevel"/>
    <w:tmpl w:val="264C82CA"/>
    <w:styleLink w:val="Stileimportato5"/>
    <w:lvl w:ilvl="0" w:tplc="23724C80">
      <w:start w:val="1"/>
      <w:numFmt w:val="bullet"/>
      <w:lvlText w:val="·"/>
      <w:lvlJc w:val="left"/>
      <w:pPr>
        <w:tabs>
          <w:tab w:val="num" w:pos="567"/>
        </w:tabs>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145DEC">
      <w:start w:val="1"/>
      <w:numFmt w:val="bullet"/>
      <w:lvlText w:val="o"/>
      <w:lvlJc w:val="left"/>
      <w:pPr>
        <w:tabs>
          <w:tab w:val="left" w:pos="567"/>
          <w:tab w:val="num" w:pos="1429"/>
        </w:tabs>
        <w:ind w:left="157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4B2FC">
      <w:start w:val="1"/>
      <w:numFmt w:val="bullet"/>
      <w:lvlText w:val="▪"/>
      <w:lvlJc w:val="left"/>
      <w:pPr>
        <w:tabs>
          <w:tab w:val="left" w:pos="567"/>
          <w:tab w:val="num" w:pos="2149"/>
        </w:tabs>
        <w:ind w:left="22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761826">
      <w:start w:val="1"/>
      <w:numFmt w:val="bullet"/>
      <w:lvlText w:val="·"/>
      <w:lvlJc w:val="left"/>
      <w:pPr>
        <w:tabs>
          <w:tab w:val="left" w:pos="567"/>
          <w:tab w:val="num" w:pos="2869"/>
        </w:tabs>
        <w:ind w:left="301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90FDC0">
      <w:start w:val="1"/>
      <w:numFmt w:val="bullet"/>
      <w:lvlText w:val="o"/>
      <w:lvlJc w:val="left"/>
      <w:pPr>
        <w:tabs>
          <w:tab w:val="left" w:pos="567"/>
          <w:tab w:val="num" w:pos="3589"/>
        </w:tabs>
        <w:ind w:left="373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3C60A2">
      <w:start w:val="1"/>
      <w:numFmt w:val="bullet"/>
      <w:lvlText w:val="▪"/>
      <w:lvlJc w:val="left"/>
      <w:pPr>
        <w:tabs>
          <w:tab w:val="left" w:pos="567"/>
          <w:tab w:val="num" w:pos="4309"/>
        </w:tabs>
        <w:ind w:left="445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CE051C">
      <w:start w:val="1"/>
      <w:numFmt w:val="bullet"/>
      <w:lvlText w:val="·"/>
      <w:lvlJc w:val="left"/>
      <w:pPr>
        <w:tabs>
          <w:tab w:val="left" w:pos="567"/>
          <w:tab w:val="num" w:pos="5029"/>
        </w:tabs>
        <w:ind w:left="517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A22D72">
      <w:start w:val="1"/>
      <w:numFmt w:val="bullet"/>
      <w:lvlText w:val="o"/>
      <w:lvlJc w:val="left"/>
      <w:pPr>
        <w:tabs>
          <w:tab w:val="left" w:pos="567"/>
          <w:tab w:val="num" w:pos="5749"/>
        </w:tabs>
        <w:ind w:left="58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F23246">
      <w:start w:val="1"/>
      <w:numFmt w:val="bullet"/>
      <w:lvlText w:val="▪"/>
      <w:lvlJc w:val="left"/>
      <w:pPr>
        <w:tabs>
          <w:tab w:val="left" w:pos="567"/>
          <w:tab w:val="num" w:pos="6469"/>
        </w:tabs>
        <w:ind w:left="661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2E47A12"/>
    <w:multiLevelType w:val="hybridMultilevel"/>
    <w:tmpl w:val="C986B356"/>
    <w:numStyleLink w:val="Stileimportato2"/>
  </w:abstractNum>
  <w:abstractNum w:abstractNumId="4" w15:restartNumberingAfterBreak="0">
    <w:nsid w:val="29C0648B"/>
    <w:multiLevelType w:val="hybridMultilevel"/>
    <w:tmpl w:val="E07A4210"/>
    <w:numStyleLink w:val="Stileimportato4"/>
  </w:abstractNum>
  <w:abstractNum w:abstractNumId="5" w15:restartNumberingAfterBreak="0">
    <w:nsid w:val="2A75020D"/>
    <w:multiLevelType w:val="hybridMultilevel"/>
    <w:tmpl w:val="C986B356"/>
    <w:styleLink w:val="Stileimportato2"/>
    <w:lvl w:ilvl="0" w:tplc="6DFCB6E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AE8C9E">
      <w:start w:val="1"/>
      <w:numFmt w:val="lowerLetter"/>
      <w:lvlText w:val="%2."/>
      <w:lvlJc w:val="left"/>
      <w:pPr>
        <w:tabs>
          <w:tab w:val="left" w:pos="567"/>
        </w:tabs>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3054A6">
      <w:start w:val="1"/>
      <w:numFmt w:val="lowerRoman"/>
      <w:lvlText w:val="%3."/>
      <w:lvlJc w:val="left"/>
      <w:pPr>
        <w:tabs>
          <w:tab w:val="left" w:pos="567"/>
        </w:tabs>
        <w:ind w:left="2007"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9C08E4">
      <w:start w:val="1"/>
      <w:numFmt w:val="decimal"/>
      <w:lvlText w:val="%4."/>
      <w:lvlJc w:val="left"/>
      <w:pPr>
        <w:tabs>
          <w:tab w:val="left" w:pos="567"/>
        </w:tabs>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B60958">
      <w:start w:val="1"/>
      <w:numFmt w:val="lowerLetter"/>
      <w:lvlText w:val="%5."/>
      <w:lvlJc w:val="left"/>
      <w:pPr>
        <w:tabs>
          <w:tab w:val="left" w:pos="567"/>
        </w:tabs>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020764">
      <w:start w:val="1"/>
      <w:numFmt w:val="lowerRoman"/>
      <w:lvlText w:val="%6."/>
      <w:lvlJc w:val="left"/>
      <w:pPr>
        <w:tabs>
          <w:tab w:val="left" w:pos="567"/>
        </w:tabs>
        <w:ind w:left="4167"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30753C">
      <w:start w:val="1"/>
      <w:numFmt w:val="decimal"/>
      <w:lvlText w:val="%7."/>
      <w:lvlJc w:val="left"/>
      <w:pPr>
        <w:tabs>
          <w:tab w:val="left" w:pos="567"/>
        </w:tabs>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B2A524">
      <w:start w:val="1"/>
      <w:numFmt w:val="lowerLetter"/>
      <w:lvlText w:val="%8."/>
      <w:lvlJc w:val="left"/>
      <w:pPr>
        <w:tabs>
          <w:tab w:val="left" w:pos="567"/>
        </w:tabs>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B2B2FA">
      <w:start w:val="1"/>
      <w:numFmt w:val="lowerRoman"/>
      <w:lvlText w:val="%9."/>
      <w:lvlJc w:val="left"/>
      <w:pPr>
        <w:tabs>
          <w:tab w:val="left" w:pos="567"/>
        </w:tabs>
        <w:ind w:left="6327"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2D96E1D"/>
    <w:multiLevelType w:val="hybridMultilevel"/>
    <w:tmpl w:val="264C82CA"/>
    <w:numStyleLink w:val="Stileimportato5"/>
  </w:abstractNum>
  <w:abstractNum w:abstractNumId="7" w15:restartNumberingAfterBreak="0">
    <w:nsid w:val="4CB61E06"/>
    <w:multiLevelType w:val="hybridMultilevel"/>
    <w:tmpl w:val="43A6902E"/>
    <w:numStyleLink w:val="Stileimportato1"/>
  </w:abstractNum>
  <w:abstractNum w:abstractNumId="8" w15:restartNumberingAfterBreak="0">
    <w:nsid w:val="4FB92697"/>
    <w:multiLevelType w:val="hybridMultilevel"/>
    <w:tmpl w:val="43A6902E"/>
    <w:styleLink w:val="Stileimportato1"/>
    <w:lvl w:ilvl="0" w:tplc="A90C9BD4">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CE33B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64A7B0">
      <w:start w:val="1"/>
      <w:numFmt w:val="lowerRoman"/>
      <w:lvlText w:val="%3."/>
      <w:lvlJc w:val="left"/>
      <w:pPr>
        <w:ind w:left="2007"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8285A6">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CE687E">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DA8D9E">
      <w:start w:val="1"/>
      <w:numFmt w:val="lowerRoman"/>
      <w:lvlText w:val="%6."/>
      <w:lvlJc w:val="left"/>
      <w:pPr>
        <w:ind w:left="4167"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4AF714">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D61B54">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D2CB56">
      <w:start w:val="1"/>
      <w:numFmt w:val="lowerRoman"/>
      <w:lvlText w:val="%9."/>
      <w:lvlJc w:val="left"/>
      <w:pPr>
        <w:ind w:left="6327"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25D70F2"/>
    <w:multiLevelType w:val="hybridMultilevel"/>
    <w:tmpl w:val="2E443C9A"/>
    <w:numStyleLink w:val="Stileimportato3"/>
  </w:abstractNum>
  <w:abstractNum w:abstractNumId="10" w15:restartNumberingAfterBreak="0">
    <w:nsid w:val="53C74E11"/>
    <w:multiLevelType w:val="hybridMultilevel"/>
    <w:tmpl w:val="2E443C9A"/>
    <w:styleLink w:val="Stileimportato3"/>
    <w:lvl w:ilvl="0" w:tplc="4D68DD2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0CBB8E">
      <w:start w:val="1"/>
      <w:numFmt w:val="lowerLetter"/>
      <w:lvlText w:val="%2."/>
      <w:lvlJc w:val="left"/>
      <w:pPr>
        <w:tabs>
          <w:tab w:val="left" w:pos="567"/>
        </w:tabs>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4722E">
      <w:start w:val="1"/>
      <w:numFmt w:val="lowerRoman"/>
      <w:lvlText w:val="%3."/>
      <w:lvlJc w:val="left"/>
      <w:pPr>
        <w:tabs>
          <w:tab w:val="left" w:pos="567"/>
        </w:tabs>
        <w:ind w:left="2007"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CE98E">
      <w:start w:val="1"/>
      <w:numFmt w:val="decimal"/>
      <w:lvlText w:val="%4."/>
      <w:lvlJc w:val="left"/>
      <w:pPr>
        <w:tabs>
          <w:tab w:val="left" w:pos="567"/>
        </w:tabs>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C03B08">
      <w:start w:val="1"/>
      <w:numFmt w:val="lowerLetter"/>
      <w:lvlText w:val="%5."/>
      <w:lvlJc w:val="left"/>
      <w:pPr>
        <w:tabs>
          <w:tab w:val="left" w:pos="567"/>
        </w:tabs>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D43032">
      <w:start w:val="1"/>
      <w:numFmt w:val="lowerRoman"/>
      <w:lvlText w:val="%6."/>
      <w:lvlJc w:val="left"/>
      <w:pPr>
        <w:tabs>
          <w:tab w:val="left" w:pos="567"/>
        </w:tabs>
        <w:ind w:left="4167"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B02060">
      <w:start w:val="1"/>
      <w:numFmt w:val="decimal"/>
      <w:lvlText w:val="%7."/>
      <w:lvlJc w:val="left"/>
      <w:pPr>
        <w:tabs>
          <w:tab w:val="left" w:pos="567"/>
        </w:tabs>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9E3094">
      <w:start w:val="1"/>
      <w:numFmt w:val="lowerLetter"/>
      <w:lvlText w:val="%8."/>
      <w:lvlJc w:val="left"/>
      <w:pPr>
        <w:tabs>
          <w:tab w:val="left" w:pos="567"/>
        </w:tabs>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34130E">
      <w:start w:val="1"/>
      <w:numFmt w:val="lowerRoman"/>
      <w:lvlText w:val="%9."/>
      <w:lvlJc w:val="left"/>
      <w:pPr>
        <w:tabs>
          <w:tab w:val="left" w:pos="567"/>
        </w:tabs>
        <w:ind w:left="6327"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894217B"/>
    <w:multiLevelType w:val="hybridMultilevel"/>
    <w:tmpl w:val="3978166C"/>
    <w:styleLink w:val="Stileimportato6"/>
    <w:lvl w:ilvl="0" w:tplc="9B9C2840">
      <w:start w:val="1"/>
      <w:numFmt w:val="bullet"/>
      <w:lvlText w:val="·"/>
      <w:lvlJc w:val="left"/>
      <w:pPr>
        <w:tabs>
          <w:tab w:val="num" w:pos="567"/>
        </w:tabs>
        <w:ind w:left="709"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7C617A">
      <w:start w:val="1"/>
      <w:numFmt w:val="bullet"/>
      <w:lvlText w:val="o"/>
      <w:lvlJc w:val="left"/>
      <w:pPr>
        <w:tabs>
          <w:tab w:val="left" w:pos="567"/>
          <w:tab w:val="num" w:pos="1429"/>
        </w:tabs>
        <w:ind w:left="1571" w:hanging="4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AECC5C">
      <w:start w:val="1"/>
      <w:numFmt w:val="bullet"/>
      <w:lvlText w:val="▪"/>
      <w:lvlJc w:val="left"/>
      <w:pPr>
        <w:tabs>
          <w:tab w:val="left" w:pos="567"/>
          <w:tab w:val="num" w:pos="2149"/>
        </w:tabs>
        <w:ind w:left="2291" w:hanging="4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B2EA80">
      <w:start w:val="1"/>
      <w:numFmt w:val="bullet"/>
      <w:lvlText w:val="·"/>
      <w:lvlJc w:val="left"/>
      <w:pPr>
        <w:tabs>
          <w:tab w:val="left" w:pos="567"/>
          <w:tab w:val="num" w:pos="2869"/>
        </w:tabs>
        <w:ind w:left="3011" w:hanging="49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4E306C">
      <w:start w:val="1"/>
      <w:numFmt w:val="bullet"/>
      <w:lvlText w:val="o"/>
      <w:lvlJc w:val="left"/>
      <w:pPr>
        <w:tabs>
          <w:tab w:val="left" w:pos="567"/>
          <w:tab w:val="num" w:pos="3589"/>
        </w:tabs>
        <w:ind w:left="3731" w:hanging="4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B0B8C0">
      <w:start w:val="1"/>
      <w:numFmt w:val="bullet"/>
      <w:lvlText w:val="▪"/>
      <w:lvlJc w:val="left"/>
      <w:pPr>
        <w:tabs>
          <w:tab w:val="left" w:pos="567"/>
          <w:tab w:val="num" w:pos="4309"/>
        </w:tabs>
        <w:ind w:left="4451" w:hanging="4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2EF0C6">
      <w:start w:val="1"/>
      <w:numFmt w:val="bullet"/>
      <w:lvlText w:val="·"/>
      <w:lvlJc w:val="left"/>
      <w:pPr>
        <w:tabs>
          <w:tab w:val="left" w:pos="567"/>
          <w:tab w:val="num" w:pos="5029"/>
        </w:tabs>
        <w:ind w:left="5171" w:hanging="49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8095FA">
      <w:start w:val="1"/>
      <w:numFmt w:val="bullet"/>
      <w:lvlText w:val="o"/>
      <w:lvlJc w:val="left"/>
      <w:pPr>
        <w:tabs>
          <w:tab w:val="left" w:pos="567"/>
          <w:tab w:val="num" w:pos="5749"/>
        </w:tabs>
        <w:ind w:left="5891" w:hanging="4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30E840">
      <w:start w:val="1"/>
      <w:numFmt w:val="bullet"/>
      <w:lvlText w:val="▪"/>
      <w:lvlJc w:val="left"/>
      <w:pPr>
        <w:tabs>
          <w:tab w:val="left" w:pos="567"/>
          <w:tab w:val="num" w:pos="6469"/>
        </w:tabs>
        <w:ind w:left="6611" w:hanging="4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7"/>
  </w:num>
  <w:num w:numId="3">
    <w:abstractNumId w:val="5"/>
  </w:num>
  <w:num w:numId="4">
    <w:abstractNumId w:val="3"/>
  </w:num>
  <w:num w:numId="5">
    <w:abstractNumId w:val="10"/>
  </w:num>
  <w:num w:numId="6">
    <w:abstractNumId w:val="9"/>
    <w:lvlOverride w:ilvl="0">
      <w:lvl w:ilvl="0" w:tplc="94C85DFC">
        <w:start w:val="1"/>
        <w:numFmt w:val="decimal"/>
        <w:lvlText w:val="%1."/>
        <w:lvlJc w:val="left"/>
        <w:pPr>
          <w:ind w:left="567" w:hanging="567"/>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7">
    <w:abstractNumId w:val="1"/>
  </w:num>
  <w:num w:numId="8">
    <w:abstractNumId w:val="4"/>
  </w:num>
  <w:num w:numId="9">
    <w:abstractNumId w:val="9"/>
    <w:lvlOverride w:ilvl="0">
      <w:startOverride w:val="6"/>
    </w:lvlOverride>
  </w:num>
  <w:num w:numId="10">
    <w:abstractNumId w:val="2"/>
  </w:num>
  <w:num w:numId="11">
    <w:abstractNumId w:val="6"/>
  </w:num>
  <w:num w:numId="12">
    <w:abstractNumId w:val="9"/>
    <w:lvlOverride w:ilvl="0">
      <w:lvl w:ilvl="0" w:tplc="94C85DFC">
        <w:start w:val="1"/>
        <w:numFmt w:val="decimal"/>
        <w:lvlText w:val="%1."/>
        <w:lvlJc w:val="left"/>
        <w:pPr>
          <w:ind w:left="567" w:hanging="567"/>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3">
    <w:abstractNumId w:val="11"/>
  </w:num>
  <w:num w:numId="14">
    <w:abstractNumId w:val="0"/>
  </w:num>
  <w:num w:numId="15">
    <w:abstractNumId w:val="9"/>
    <w:lvlOverride w:ilvl="0">
      <w:startOverride w:val="9"/>
    </w:lvlOverride>
  </w:num>
  <w:num w:numId="16">
    <w:abstractNumId w:val="9"/>
    <w:lvlOverride w:ilvl="0">
      <w:lvl w:ilvl="0" w:tplc="94C85DFC">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D6E666">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5B8596E">
        <w:start w:val="1"/>
        <w:numFmt w:val="lowerRoman"/>
        <w:lvlText w:val="%3."/>
        <w:lvlJc w:val="left"/>
        <w:pPr>
          <w:ind w:left="2007"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D4E5782">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129AB2">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9EED3E4">
        <w:start w:val="1"/>
        <w:numFmt w:val="lowerRoman"/>
        <w:lvlText w:val="%6."/>
        <w:lvlJc w:val="left"/>
        <w:pPr>
          <w:ind w:left="4167"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EB027E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93AD77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C8AB28A">
        <w:start w:val="1"/>
        <w:numFmt w:val="lowerRoman"/>
        <w:lvlText w:val="%9."/>
        <w:lvlJc w:val="left"/>
        <w:pPr>
          <w:ind w:left="6327" w:hanging="50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904B7-3B95-4DEA-B269-15001692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rPr>
  </w:style>
  <w:style w:type="paragraph" w:styleId="Paragrafoelenco">
    <w:name w:val="List Paragraph"/>
    <w:pPr>
      <w:spacing w:after="200" w:line="276"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10"/>
      </w:numPr>
    </w:pPr>
  </w:style>
  <w:style w:type="numbering" w:customStyle="1" w:styleId="Stileimportato6">
    <w:name w:val="Stile importato 6"/>
    <w:pPr>
      <w:numPr>
        <w:numId w:val="13"/>
      </w:numPr>
    </w:p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color w:val="000000"/>
      <w:sz w:val="18"/>
      <w:szCs w:val="18"/>
      <w:u w:color="000000"/>
    </w:rPr>
  </w:style>
  <w:style w:type="paragraph" w:styleId="Revisione">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1143</Words>
  <Characters>6517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Zara Federico</dc:creator>
  <cp:lastModifiedBy>Zara Federico</cp:lastModifiedBy>
  <cp:revision>8</cp:revision>
  <dcterms:created xsi:type="dcterms:W3CDTF">2021-08-26T11:24:00Z</dcterms:created>
  <dcterms:modified xsi:type="dcterms:W3CDTF">2023-07-03T15:28:00Z</dcterms:modified>
</cp:coreProperties>
</file>