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4F81BD" w:themeColor="accent1"/>
          <w:sz w:val="24"/>
          <w:szCs w:val="24"/>
        </w:rPr>
      </w:pPr>
      <w:r>
        <w:rPr>
          <w:rFonts w:ascii="Calibri-Bold" w:hAnsi="Calibri-Bold" w:cs="Calibri-Bold"/>
          <w:b/>
          <w:bCs/>
          <w:color w:val="4F81BD" w:themeColor="accent1"/>
          <w:sz w:val="24"/>
          <w:szCs w:val="24"/>
        </w:rPr>
        <w:t>UOC GENETICA MEDICA</w:t>
      </w:r>
    </w:p>
    <w:p>
      <w:pPr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4F81BD" w:themeColor="accent1"/>
          <w:sz w:val="24"/>
          <w:szCs w:val="24"/>
        </w:rPr>
      </w:pPr>
      <w:r>
        <w:rPr>
          <w:rFonts w:ascii="Calibri-Bold" w:hAnsi="Calibri-Bold" w:cs="Calibri-Bold"/>
          <w:b/>
          <w:bCs/>
          <w:color w:val="4F81BD" w:themeColor="accent1"/>
          <w:sz w:val="24"/>
          <w:szCs w:val="24"/>
        </w:rPr>
        <w:t>Articolazione Organizza</w:t>
      </w:r>
      <w:bookmarkStart w:id="0" w:name="_GoBack"/>
      <w:bookmarkEnd w:id="0"/>
      <w:r>
        <w:rPr>
          <w:rFonts w:ascii="Calibri-Bold" w:hAnsi="Calibri-Bold" w:cs="Calibri-Bold"/>
          <w:b/>
          <w:bCs/>
          <w:color w:val="4F81BD" w:themeColor="accent1"/>
          <w:sz w:val="24"/>
          <w:szCs w:val="24"/>
        </w:rPr>
        <w:t>tiva</w:t>
      </w:r>
    </w:p>
    <w:p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i/>
          <w:iCs/>
          <w:color w:val="4F81BD" w:themeColor="accent1"/>
        </w:rPr>
      </w:pPr>
      <w:r>
        <w:rPr>
          <w:rFonts w:ascii="Calibri-Italic" w:hAnsi="Calibri-Italic" w:cs="Calibri-Italic"/>
          <w:b/>
          <w:i/>
          <w:iCs/>
          <w:color w:val="4F81BD" w:themeColor="accent1"/>
        </w:rPr>
        <w:t>DIRETTORE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53"/>
        <w:gridCol w:w="6319"/>
        <w:gridCol w:w="6030"/>
      </w:tblGrid>
      <w:tr>
        <w:tc>
          <w:tcPr>
            <w:tcW w:w="2153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Federico Zara</w:t>
            </w:r>
          </w:p>
        </w:tc>
        <w:tc>
          <w:tcPr>
            <w:tcW w:w="6319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Direttore, Professore Ordinario di Genetica Medica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Coordinamento attività Diagnostica, Ricerca e Didattica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4F81BD" w:themeColor="accent1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i/>
          <w:iCs/>
          <w:color w:val="4F81BD" w:themeColor="accent1"/>
          <w:sz w:val="20"/>
          <w:szCs w:val="20"/>
        </w:rPr>
      </w:pPr>
      <w:r>
        <w:rPr>
          <w:rFonts w:ascii="Calibri-Italic" w:hAnsi="Calibri-Italic" w:cs="Calibri-Italic"/>
          <w:b/>
          <w:i/>
          <w:iCs/>
          <w:color w:val="4F81BD" w:themeColor="accent1"/>
          <w:sz w:val="20"/>
          <w:szCs w:val="20"/>
        </w:rPr>
        <w:t>COORDINATORE TECNICO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95"/>
        <w:gridCol w:w="6277"/>
        <w:gridCol w:w="6030"/>
      </w:tblGrid>
      <w:tr>
        <w:tc>
          <w:tcPr>
            <w:tcW w:w="2195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Danilo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Marimpietri</w:t>
            </w:r>
            <w:proofErr w:type="spellEnd"/>
          </w:p>
        </w:tc>
        <w:tc>
          <w:tcPr>
            <w:tcW w:w="6277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Coordinatore Sanitario 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Coordinamento settore Tecnico, gestione spazi e attrezzature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i/>
          <w:iCs/>
          <w:color w:val="4F81BD" w:themeColor="accent1"/>
          <w:sz w:val="20"/>
          <w:szCs w:val="20"/>
        </w:rPr>
      </w:pPr>
      <w:r>
        <w:rPr>
          <w:rFonts w:ascii="Calibri-Italic" w:hAnsi="Calibri-Italic" w:cs="Calibri-Italic"/>
          <w:b/>
          <w:i/>
          <w:iCs/>
          <w:color w:val="4F81BD" w:themeColor="accent1"/>
          <w:sz w:val="20"/>
          <w:szCs w:val="20"/>
        </w:rPr>
        <w:t>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9"/>
        <w:gridCol w:w="6070"/>
        <w:gridCol w:w="6063"/>
      </w:tblGrid>
      <w:tr>
        <w:tc>
          <w:tcPr>
            <w:tcW w:w="2369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Loredana Velo</w:t>
            </w:r>
          </w:p>
        </w:tc>
        <w:tc>
          <w:tcPr>
            <w:tcW w:w="607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Assistente amministrativo</w:t>
            </w:r>
          </w:p>
        </w:tc>
        <w:tc>
          <w:tcPr>
            <w:tcW w:w="6063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Gestione corrispondenza e telefono, contabilità fondi di ricerca, inserimento richieste di ordine, gestione pratiche studenti, organizzazione eventi formativi, interfaccia strutture amministrative dell’Istituto. 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i/>
          <w:iCs/>
          <w:color w:val="4F81BD" w:themeColor="accent1"/>
          <w:sz w:val="20"/>
          <w:szCs w:val="20"/>
        </w:rPr>
      </w:pPr>
      <w:r>
        <w:rPr>
          <w:rFonts w:ascii="Calibri-Italic" w:hAnsi="Calibri-Italic" w:cs="Calibri-Italic"/>
          <w:b/>
          <w:i/>
          <w:iCs/>
          <w:color w:val="4F81BD" w:themeColor="accent1"/>
          <w:sz w:val="20"/>
          <w:szCs w:val="20"/>
        </w:rPr>
        <w:t>LABORATORIO DI GENETICA MEDICA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80"/>
        <w:gridCol w:w="6292"/>
        <w:gridCol w:w="6030"/>
      </w:tblGrid>
      <w:tr>
        <w:tc>
          <w:tcPr>
            <w:tcW w:w="1450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Dirigenti</w:t>
            </w:r>
          </w:p>
        </w:tc>
      </w:tr>
      <w:tr>
        <w:tc>
          <w:tcPr>
            <w:tcW w:w="218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Renata Bocciardi</w:t>
            </w:r>
          </w:p>
        </w:tc>
        <w:tc>
          <w:tcPr>
            <w:tcW w:w="62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Biologa, Specialista in Genetica Medica, Ricercatrice a Tempo Indeterminato in convezione SSN, Università di Genova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Supervisione progetti su modulazione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trascrizionale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geni-malattia; studi funzionali di varianti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associate a malattie genetiche;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refertazione test genetici per sindrome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rare,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cataratte congenite 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disgenesie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segmento oculare anteriore;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disglicemie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malattie metaboliche.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Attività didattica e supervisione studenti e dottorandi, specializzandi in Genetica Medica.</w:t>
            </w:r>
          </w:p>
        </w:tc>
      </w:tr>
      <w:tr>
        <w:tc>
          <w:tcPr>
            <w:tcW w:w="218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Patrizia De Marco</w:t>
            </w:r>
          </w:p>
        </w:tc>
        <w:tc>
          <w:tcPr>
            <w:tcW w:w="62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Biologa, Specialista in Genetica Medica 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Accettazione, Refertazione test in campo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neurogenetico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neuro-oncologico, supervisione ordini materiali</w:t>
            </w:r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Francesca Madia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Biologa, Specialista in Genetica Medica 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Accettazione, Refertazione test in campo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neurogenetico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supervisione budget e applicativi gestionali, preposto alla sicurezza</w:t>
            </w:r>
          </w:p>
        </w:tc>
      </w:tr>
      <w:tr>
        <w:tc>
          <w:tcPr>
            <w:tcW w:w="218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Nicoletta Pedemonte</w:t>
            </w:r>
          </w:p>
        </w:tc>
        <w:tc>
          <w:tcPr>
            <w:tcW w:w="62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Biologa, specialista in Patologia Clinica 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Ricerca nel settore delle Fibrosi cistica e dello sviluppo di terapie di medicina personalizzata, supervisione magazzino e gestione materiali comuni</w:t>
            </w:r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Aldamaria Puliti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Biologa, Specialista in Genetica Medica, Professore Associato in convenzione SSN, Università di Genova 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Ricerca nel settore della genomica applicata alle malattie del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neurosviluppo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attività didattica e supervisione studenti, dottorandi, specializzandi in Genetica Medica</w:t>
            </w:r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Paolo Scudieri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Biologo, Specialista in Patologia Clinica, Ricercatore a tempo Determinato tipo A in convenzione SSN, Università di Genova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Ricerca nel settore delle Neuroscienze e della Fibrosi Cistica, attività didattica e supervisione studenti e dottorandi, specializzandi in Genetica Medica</w:t>
            </w:r>
          </w:p>
        </w:tc>
      </w:tr>
      <w:tr>
        <w:tc>
          <w:tcPr>
            <w:tcW w:w="218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Monica Traverso</w:t>
            </w:r>
          </w:p>
        </w:tc>
        <w:tc>
          <w:tcPr>
            <w:tcW w:w="62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Biologa, specialista in Genetica Medica</w:t>
            </w:r>
            <w:r>
              <w:rPr>
                <w:sz w:val="20"/>
                <w:szCs w:val="20"/>
              </w:rPr>
              <w:t xml:space="preserve">                                                           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distaccata dalla UOC Neurologia Pediatrica e Malattie Muscolari)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Accettazione, Refertazione test in campo neuromuscolare, progetto screening neonatale genomico in collaborazione con Centro Screening.</w:t>
            </w:r>
          </w:p>
        </w:tc>
      </w:tr>
      <w:tr>
        <w:tc>
          <w:tcPr>
            <w:tcW w:w="1450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Tecnici di Laboratorio</w:t>
            </w:r>
          </w:p>
        </w:tc>
      </w:tr>
      <w:tr>
        <w:tc>
          <w:tcPr>
            <w:tcW w:w="218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Francesco Caroli</w:t>
            </w:r>
          </w:p>
        </w:tc>
        <w:tc>
          <w:tcPr>
            <w:tcW w:w="62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Tecnico sanitario Laboratorio Biomedico 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Supporto attività di diagnostica e ricerca (Sequenziamento NGS)</w:t>
            </w:r>
          </w:p>
        </w:tc>
      </w:tr>
      <w:tr>
        <w:tc>
          <w:tcPr>
            <w:tcW w:w="218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Marco Di Duca</w:t>
            </w:r>
          </w:p>
        </w:tc>
        <w:tc>
          <w:tcPr>
            <w:tcW w:w="62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sanitario Laboratorio Biomedico                                                                  (distaccato dal Laboratorio di Fisiopatologia dell’uremia)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Supporto attività di diagnostica e ricerca (Sequenziamento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Sanger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analisi di frammenti)</w:t>
            </w:r>
          </w:p>
        </w:tc>
      </w:tr>
      <w:tr>
        <w:tc>
          <w:tcPr>
            <w:tcW w:w="218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Sara Guerrisi</w:t>
            </w:r>
          </w:p>
        </w:tc>
        <w:tc>
          <w:tcPr>
            <w:tcW w:w="62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sanitario Laboratorio Biomedico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Supporto attività di diagnostica e ricerca (Sequenziamento NGS,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Sanger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analisi di frammenti)</w:t>
            </w:r>
          </w:p>
        </w:tc>
      </w:tr>
      <w:tr>
        <w:tc>
          <w:tcPr>
            <w:tcW w:w="14502" w:type="dxa"/>
            <w:gridSpan w:val="3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Personale Ausiliario</w:t>
            </w:r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Gaetana Veneziano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Ausiliaria Specializzata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Sterilizzazione, gestione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biobox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supporto alla segreteria e all’accettazione di campioni biologici</w:t>
            </w:r>
          </w:p>
        </w:tc>
      </w:tr>
      <w:tr>
        <w:tc>
          <w:tcPr>
            <w:tcW w:w="14502" w:type="dxa"/>
            <w:gridSpan w:val="3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Ricercatori Sanitari</w:t>
            </w:r>
          </w:p>
        </w:tc>
      </w:tr>
      <w:tr>
        <w:tc>
          <w:tcPr>
            <w:tcW w:w="218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Simona Baldassari</w:t>
            </w:r>
          </w:p>
        </w:tc>
        <w:tc>
          <w:tcPr>
            <w:tcW w:w="62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Biologa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Supervisione generazione cellule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iPS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studi di meccanismi patogenetici mediante approcci di biologia cellulare in ambito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neurogenetico</w:t>
            </w:r>
            <w:proofErr w:type="spellEnd"/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Serena Cappato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Biologa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Studi per la modulazione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trascrizionale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 geni-malattia, mediante approcci di biologia molecolare</w:t>
            </w:r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Valeria Capurro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Biologa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Correlazioni farmaco-funzionali mediante approcci di biologia cellulare</w:t>
            </w:r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Cerminara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Biologa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Studi genomici per le sindromi dello spettro autistico</w:t>
            </w:r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Loretta Ferrera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Biologa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Studi di elettrofisiologia sperimentale nelle epilessie 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canalopatie</w:t>
            </w:r>
            <w:proofErr w:type="spellEnd"/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Michele Iacomino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Biotecnologo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Implementazioni di pipeline bioinformatiche per la genomica, identificazione di nuovi geni per le malattie del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neurosviluppo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Ilaria Musante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Biologo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Studi di meccanismi patogenetici mediante approcci di biologia cellulare in ambito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neurogenetico</w:t>
            </w:r>
            <w:proofErr w:type="spellEnd"/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Marzia Ognibene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Biologa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Studi di genetica molecolare nel neuroblastoma e in campo neuro-oncologico</w:t>
            </w:r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Emanuela Pesce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Biologa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Correlazioni farmaco-funzionali mediante approcci di biologia cellulare</w:t>
            </w:r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Valeria Tomati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Biologa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Analisi funzionali di mutazioni geniche mediante approcci biochimici</w:t>
            </w:r>
          </w:p>
        </w:tc>
      </w:tr>
      <w:tr>
        <w:tc>
          <w:tcPr>
            <w:tcW w:w="1450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Dottorandi e Borsisti</w:t>
            </w:r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Marco Fontana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Biologo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Genomica dei disturbi del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neurosviluppo</w:t>
            </w:r>
            <w:proofErr w:type="spellEnd"/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Giulia Gorrieri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Biologo, Specialista in Patologia Clinica</w:t>
            </w:r>
          </w:p>
        </w:tc>
        <w:tc>
          <w:tcPr>
            <w:tcW w:w="6030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Modulazione di proteine accessuali nella Fibrosi Cistica; generazione di modelli cellulari avanzati</w:t>
            </w:r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Floriana Guida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Biologo</w:t>
            </w:r>
          </w:p>
        </w:tc>
        <w:tc>
          <w:tcPr>
            <w:tcW w:w="6030" w:type="dxa"/>
          </w:tcPr>
          <w:p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Studi di espressione e funzione di bersagli terapeutici per malattie genetiche</w:t>
            </w:r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Teresa Lena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Biologa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Analisi di varianti associate a patologie genetiche mediante saggi funzionali e biochimici</w:t>
            </w:r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Alessandra Ludovico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Chimico e Tecnologo Farmaceutico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Analisi funzionali canali ionici neuronali nelle epilessie</w:t>
            </w:r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Cristina Pastorino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Biologo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Analisi molecolari di varianti del gene CFTR e sviluppo di saggi per l’identificazione di nuove terapie per malattie del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neurosviluppo</w:t>
            </w:r>
            <w:proofErr w:type="spellEnd"/>
          </w:p>
        </w:tc>
      </w:tr>
      <w:tr>
        <w:tc>
          <w:tcPr>
            <w:tcW w:w="218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Giulia Rosti</w:t>
            </w:r>
          </w:p>
        </w:tc>
        <w:tc>
          <w:tcPr>
            <w:tcW w:w="6292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Medico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Correlazioni genotipo-fenotipo nelle displasie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scelettriche</w:t>
            </w:r>
            <w:proofErr w:type="spellEnd"/>
          </w:p>
        </w:tc>
      </w:tr>
      <w:tr>
        <w:tc>
          <w:tcPr>
            <w:tcW w:w="218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Serena Tamburro</w:t>
            </w:r>
          </w:p>
        </w:tc>
        <w:tc>
          <w:tcPr>
            <w:tcW w:w="62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Biologo</w:t>
            </w:r>
          </w:p>
        </w:tc>
        <w:tc>
          <w:tcPr>
            <w:tcW w:w="6030" w:type="dxa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Studi di meccanismi patogenetici mediante approcci di biologia cellulare e molecolare in ambito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neurogenetico</w:t>
            </w:r>
            <w:proofErr w:type="spellEnd"/>
          </w:p>
        </w:tc>
      </w:tr>
    </w:tbl>
    <w:p>
      <w:pPr>
        <w:spacing w:after="0" w:line="240" w:lineRule="auto"/>
        <w:jc w:val="both"/>
      </w:pPr>
    </w:p>
    <w:sectPr>
      <w:pgSz w:w="16838" w:h="11906" w:orient="landscape"/>
      <w:pgMar w:top="993" w:right="1134" w:bottom="8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8E407-E2F0-4F73-9908-0C14FD7F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13095-C17F-4535-8368-579921D1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Genmol</dc:creator>
  <cp:lastModifiedBy>Zara Federico</cp:lastModifiedBy>
  <cp:revision>19</cp:revision>
  <dcterms:created xsi:type="dcterms:W3CDTF">2019-02-28T14:25:00Z</dcterms:created>
  <dcterms:modified xsi:type="dcterms:W3CDTF">2023-07-03T15:46:00Z</dcterms:modified>
</cp:coreProperties>
</file>